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widowControl/>
        <w:suppressAutoHyphens w:val="true"/>
        <w:bidi w:val="0"/>
        <w:spacing w:before="0" w:after="160"/>
        <w:ind w:hanging="0" w:start="0" w:end="0"/>
        <w:contextualSpacing/>
        <w:jc w:val="center"/>
        <w:rPr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Квалификационные требования к покупателям</w:t>
      </w:r>
    </w:p>
    <w:tbl>
      <w:tblPr>
        <w:tblStyle w:val="a6"/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76"/>
        <w:gridCol w:w="2223"/>
        <w:gridCol w:w="4039"/>
      </w:tblGrid>
      <w:tr>
        <w:trPr/>
        <w:tc>
          <w:tcPr>
            <w:tcW w:w="3376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en-US"/>
              </w:rPr>
              <w:t>Критерий соответствия требованию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en-US"/>
              </w:rPr>
              <w:t>Целевое значение критерия</w:t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en-US"/>
              </w:rPr>
              <w:t>Подтверждающий документ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bookmarkStart w:id="0" w:name="_Ref6403141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Требование о наличии правоспособности</w:t>
            </w:r>
            <w:bookmarkEnd w:id="0"/>
          </w:p>
        </w:tc>
      </w:tr>
      <w:tr>
        <w:trPr>
          <w:trHeight w:val="694" w:hRule="atLeast"/>
        </w:trPr>
        <w:tc>
          <w:tcPr>
            <w:tcW w:w="3376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Надлежащая государственная регистрация покупателя</w:t>
            </w:r>
          </w:p>
        </w:tc>
        <w:tc>
          <w:tcPr>
            <w:tcW w:w="2223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Да (имеется надлежащая государственная регистрация)</w:t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Свидетельство или справка о регистрации (перерегистрации) юридического лица, индивидуального предпринимателя</w:t>
            </w:r>
          </w:p>
        </w:tc>
      </w:tr>
      <w:tr>
        <w:trPr/>
        <w:tc>
          <w:tcPr>
            <w:tcW w:w="3376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223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Выписка из торгового или коммерческого реестра или иной эквивалентный документ, подтверждающий правоспособность юридического лица</w:t>
            </w:r>
          </w:p>
        </w:tc>
      </w:tr>
      <w:tr>
        <w:trPr/>
        <w:tc>
          <w:tcPr>
            <w:tcW w:w="3376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223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Устав (с изменениями и дополнениями)</w:t>
            </w:r>
          </w:p>
        </w:tc>
      </w:tr>
      <w:tr>
        <w:trPr/>
        <w:tc>
          <w:tcPr>
            <w:tcW w:w="3376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Надлежащее подтверждение полномочий лица, действующего от имени покупателя</w:t>
            </w:r>
          </w:p>
        </w:tc>
        <w:tc>
          <w:tcPr>
            <w:tcW w:w="2223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Да (полномочия подтверждены надлежащим образом)</w:t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Протокол или иной документ, подтверждающий избрание (назначение) органов управления юридического лица (единоличный (директор, генеральный директор и т.п.) и (или) коллегиальный исполнительный (правление и т.п.) орган, совет директоров/наблюдательный совет и т.п.)</w:t>
            </w:r>
          </w:p>
        </w:tc>
      </w:tr>
      <w:tr>
        <w:trPr/>
        <w:tc>
          <w:tcPr>
            <w:tcW w:w="3376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223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56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Надлежащим образом оформленная доверенность (в случае, если документы подписаны представителем юридического лица).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Требование о платежеспособности</w:t>
            </w:r>
          </w:p>
        </w:tc>
      </w:tr>
      <w:tr>
        <w:trPr/>
        <w:tc>
          <w:tcPr>
            <w:tcW w:w="3376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У хозяйствующего субъекта отсутствует задолженность по начисленным налогам, сборам и иным обязательным платежам в бюджет</w:t>
            </w:r>
          </w:p>
        </w:tc>
        <w:tc>
          <w:tcPr>
            <w:tcW w:w="2223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13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Да (отсутствие такой задолженности)</w:t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Выписка с КГД МФ РК или иного признаваемого ресурса.</w:t>
            </w:r>
          </w:p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Финансовая отчетность хозяйствующего субъекта.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Не подлежать процедуре ликвидации или банкротства</w:t>
            </w:r>
          </w:p>
        </w:tc>
      </w:tr>
      <w:tr>
        <w:trPr/>
        <w:tc>
          <w:tcPr>
            <w:tcW w:w="3376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Хозяйствующий субъект не находится в состоянии ликвидации или банкротства</w:t>
            </w:r>
          </w:p>
        </w:tc>
        <w:tc>
          <w:tcPr>
            <w:tcW w:w="2223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13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Нет (не находится в состоянии ликвидации или банкротства)</w:t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Выписка из реестра юридических лиц или торгового реестра, подтверждающая, что юридическое лицо является действующим.</w:t>
            </w:r>
          </w:p>
        </w:tc>
      </w:tr>
      <w:tr>
        <w:trPr/>
        <w:tc>
          <w:tcPr>
            <w:tcW w:w="3376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2223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567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Письмо (сертификат) или иной эквивалентный документ, подтверждающий статус действующего юридического лица.</w:t>
            </w:r>
          </w:p>
        </w:tc>
      </w:tr>
      <w:tr>
        <w:trPr/>
        <w:tc>
          <w:tcPr>
            <w:tcW w:w="9638" w:type="dxa"/>
            <w:gridSpan w:val="3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Нахождение в санкционных списках Соединенных Штатов Америки, Великобритании или Европейского Союза (при экспорте продукции)</w:t>
            </w:r>
          </w:p>
        </w:tc>
      </w:tr>
      <w:tr>
        <w:trPr>
          <w:trHeight w:val="987" w:hRule="atLeast"/>
        </w:trPr>
        <w:tc>
          <w:tcPr>
            <w:tcW w:w="3376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Хозяйствующий субъект (его конечные бенефициары) не находится в санкционных списках США, Великобритании или Европейского Союза.</w:t>
            </w:r>
          </w:p>
        </w:tc>
        <w:tc>
          <w:tcPr>
            <w:tcW w:w="2223" w:type="dxa"/>
            <w:vMerge w:val="restart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Нет (не находится в санкционных списках США, Великобритании или Европейского Союза)</w:t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Письмо или иной эквивалентный документ, подтверждающий, что потенциальный покупатель не находится в санкционных списках США, Великобритании или Европейского Союза.</w:t>
            </w:r>
          </w:p>
        </w:tc>
      </w:tr>
      <w:tr>
        <w:trPr>
          <w:trHeight w:val="986" w:hRule="atLeast"/>
        </w:trPr>
        <w:tc>
          <w:tcPr>
            <w:tcW w:w="3376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firstLine="567" w:start="-56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</w:r>
          </w:p>
        </w:tc>
        <w:tc>
          <w:tcPr>
            <w:tcW w:w="2223" w:type="dxa"/>
            <w:vMerge w:val="continue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567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</w:r>
          </w:p>
        </w:tc>
        <w:tc>
          <w:tcPr>
            <w:tcW w:w="4039" w:type="dxa"/>
            <w:tcBorders/>
          </w:tcPr>
          <w:p>
            <w:pPr>
              <w:pStyle w:val="ListParagraph"/>
              <w:widowControl/>
              <w:bidi w:val="0"/>
              <w:spacing w:lineRule="auto" w:line="259" w:before="0" w:after="0"/>
              <w:ind w:hanging="0" w:start="-20"/>
              <w:contextualSpacing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en-US"/>
              </w:rPr>
              <w:t>Письменное заключение Службы безопасности Продавца.</w:t>
            </w:r>
          </w:p>
        </w:tc>
      </w:tr>
    </w:tbl>
    <w:p>
      <w:pPr>
        <w:pStyle w:val="ListParagraph"/>
        <w:bidi w:val="0"/>
        <w:spacing w:before="0" w:after="0"/>
        <w:ind w:start="-567"/>
        <w:contextualSpacing/>
        <w:jc w:val="start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p>
      <w:pPr>
        <w:pStyle w:val="ListParagraph"/>
        <w:widowControl/>
        <w:suppressAutoHyphens w:val="true"/>
        <w:bidi w:val="0"/>
        <w:spacing w:before="0" w:after="0"/>
        <w:ind w:hanging="0" w:start="0" w:end="0"/>
        <w:contextualSpacing/>
        <w:jc w:val="start"/>
        <w:rPr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Потенциальный покупатель должен соответствовать следующим критериям: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hanging="0" w:start="0" w:end="0"/>
        <w:contextualSpacing/>
        <w:jc w:val="both"/>
        <w:rPr>
          <w:lang w:val="ru-RU"/>
        </w:rPr>
      </w:pPr>
      <w:r>
        <w:rPr>
          <w:rFonts w:cs="Times New Roman" w:ascii="Times New Roman" w:hAnsi="Times New Roman"/>
          <w:lang w:val="ru-RU"/>
        </w:rPr>
        <w:t>готовность к приобретению объема от 50 000 тонн на календарный год;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hanging="0" w:start="0" w:end="0"/>
        <w:contextualSpacing/>
        <w:jc w:val="both"/>
        <w:rPr>
          <w:lang w:val="ru-RU"/>
        </w:rPr>
      </w:pPr>
      <w:r>
        <w:rPr>
          <w:rFonts w:cs="Times New Roman" w:ascii="Times New Roman" w:hAnsi="Times New Roman"/>
          <w:lang w:val="ru-RU"/>
        </w:rPr>
        <w:t>готовность осуществлять равномерную выборку объема в течение года строго соответствуя графику, включая несезонный период (март-июнь) в размере не менее 30% от общего объема;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hanging="0" w:start="0" w:end="0"/>
        <w:contextualSpacing/>
        <w:jc w:val="both"/>
        <w:rPr>
          <w:lang w:val="ru-RU"/>
        </w:rPr>
      </w:pPr>
      <w:r>
        <w:rPr>
          <w:rFonts w:cs="Times New Roman" w:ascii="Times New Roman" w:hAnsi="Times New Roman"/>
          <w:lang w:val="ru-RU"/>
        </w:rPr>
        <w:t xml:space="preserve">потенциальный покупатель является региональным оператором, и(или) имеет на праве собственности/аренды угольный тупик (прилагаются копии соответствующих документов: технические паспорта, договоры аренды, лицензии);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hanging="0" w:start="0" w:end="0"/>
        <w:contextualSpacing/>
        <w:jc w:val="both"/>
        <w:rPr>
          <w:lang w:val="ru-RU"/>
        </w:rPr>
      </w:pPr>
      <w:r>
        <w:rPr>
          <w:rFonts w:cs="Times New Roman" w:ascii="Times New Roman" w:hAnsi="Times New Roman"/>
          <w:lang w:val="ru-RU"/>
        </w:rPr>
        <w:t xml:space="preserve">не имеет отрицательного опыта сотрудничества с предприятием по договорам поставки угля, включая биржевые и внебиржевые сделки; 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hanging="0" w:start="0" w:end="0"/>
        <w:contextualSpacing/>
        <w:jc w:val="both"/>
        <w:rPr>
          <w:lang w:val="ru-RU"/>
        </w:rPr>
      </w:pPr>
      <w:r>
        <w:rPr>
          <w:rFonts w:cs="Times New Roman" w:ascii="Times New Roman" w:hAnsi="Times New Roman"/>
          <w:lang w:val="ru-RU"/>
        </w:rPr>
        <w:t>потенциальный покупатель является финансово устойчивым;</w: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0"/>
        <w:ind w:hanging="0" w:start="0" w:end="0"/>
        <w:contextualSpacing/>
        <w:jc w:val="both"/>
        <w:rPr>
          <w:lang w:val="ru-RU"/>
        </w:rPr>
      </w:pPr>
      <w:r>
        <w:rPr>
          <w:rFonts w:cs="Times New Roman" w:ascii="Times New Roman" w:hAnsi="Times New Roman"/>
          <w:lang w:val="ru-RU"/>
        </w:rPr>
        <w:t>готовность внести 3 (три) % гарантийного обеспечения от общей суммы договора.</w:t>
      </w:r>
    </w:p>
    <w:p>
      <w:pPr>
        <w:pStyle w:val="ListParagraph"/>
        <w:bidi w:val="0"/>
        <w:spacing w:before="0" w:after="0"/>
        <w:ind w:start="-567"/>
        <w:contextualSpacing/>
        <w:jc w:val="both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ListParagraph"/>
        <w:bidi w:val="0"/>
        <w:spacing w:before="0" w:after="0"/>
        <w:ind w:start="-567"/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2</Pages>
  <Words>359</Words>
  <Characters>2747</Characters>
  <CharactersWithSpaces>3062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2026-06-03T13:49:51Z</dcterms:created>
  <dc:creator/>
  <dc:description/>
  <dc:language>en-US</dc:language>
  <cp:lastModifiedBy/>
  <dcterms:modified xsi:type="dcterms:W3CDTF">2026-06-03T13:52:45Z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